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立臺北特殊教育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1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1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臺北市立臺北特殊教育學校11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含括</w:t>
      </w:r>
      <w:r w:rsidR="007E538B" w:rsidRPr="00EC3B6D">
        <w:rPr>
          <w:rFonts w:ascii="標楷體" w:eastAsia="標楷體" w:hAnsi="標楷體"/>
        </w:rPr>
        <w:t>幼兒園、國小部、國中部及技術型高中部。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r w:rsidR="007E538B" w:rsidRPr="00EC3B6D">
        <w:rPr>
          <w:rFonts w:ascii="標楷體" w:eastAsia="標楷體" w:hAnsi="標楷體" w:hint="eastAsia"/>
        </w:rPr>
        <w:t>善用校內外資源及相互交流</w:t>
      </w:r>
      <w:r w:rsidR="007E538B" w:rsidRPr="00EC3B6D">
        <w:rPr>
          <w:rFonts w:ascii="標楷體" w:eastAsia="標楷體" w:hAnsi="標楷體"/>
        </w:rPr>
        <w:t>。</w:t>
      </w:r>
    </w:p>
    <w:p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r>
        <w:rPr>
          <w:rFonts w:ascii="標楷體" w:eastAsia="標楷體" w:hAnsi="標楷體" w:hint="eastAsia"/>
          <w:szCs w:val="28"/>
        </w:rPr>
        <w:t>臺北特殊教育學校</w:t>
      </w:r>
      <w:r w:rsidR="00EC3B6D">
        <w:rPr>
          <w:rFonts w:ascii="標楷體" w:eastAsia="標楷體" w:hAnsi="標楷體" w:hint="eastAsia"/>
          <w:szCs w:val="28"/>
        </w:rPr>
        <w:t>校史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了解規畫信託財產之目的、意義與內涵、效果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報名相關問題，請逕洽：</w:t>
      </w:r>
      <w:r>
        <w:rPr>
          <w:rFonts w:ascii="標楷體" w:eastAsia="標楷體" w:hAnsi="標楷體" w:hint="eastAsia"/>
          <w:szCs w:val="28"/>
        </w:rPr>
        <w:t>臺北特殊教育學校輔導室 曾冠婷組長</w:t>
      </w:r>
    </w:p>
    <w:p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5F" w:rsidRDefault="00D5215F" w:rsidP="00FA376B">
      <w:r>
        <w:separator/>
      </w:r>
    </w:p>
  </w:endnote>
  <w:endnote w:type="continuationSeparator" w:id="0">
    <w:p w:rsidR="00D5215F" w:rsidRDefault="00D5215F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5F" w:rsidRDefault="00D5215F" w:rsidP="00FA376B">
      <w:r>
        <w:separator/>
      </w:r>
    </w:p>
  </w:footnote>
  <w:footnote w:type="continuationSeparator" w:id="0">
    <w:p w:rsidR="00D5215F" w:rsidRDefault="00D5215F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3"/>
    <w:rsid w:val="00011194"/>
    <w:rsid w:val="0002535F"/>
    <w:rsid w:val="00032132"/>
    <w:rsid w:val="000B67DF"/>
    <w:rsid w:val="000C0D56"/>
    <w:rsid w:val="000F233A"/>
    <w:rsid w:val="000F7F62"/>
    <w:rsid w:val="00190647"/>
    <w:rsid w:val="002E4A2A"/>
    <w:rsid w:val="003921A4"/>
    <w:rsid w:val="003A227B"/>
    <w:rsid w:val="004052C8"/>
    <w:rsid w:val="004E0B81"/>
    <w:rsid w:val="005C5A45"/>
    <w:rsid w:val="006012EB"/>
    <w:rsid w:val="00630A2A"/>
    <w:rsid w:val="00731711"/>
    <w:rsid w:val="0074777A"/>
    <w:rsid w:val="007E538B"/>
    <w:rsid w:val="00865652"/>
    <w:rsid w:val="00AE73C3"/>
    <w:rsid w:val="00BD0830"/>
    <w:rsid w:val="00D15AA2"/>
    <w:rsid w:val="00D5215F"/>
    <w:rsid w:val="00EB16B3"/>
    <w:rsid w:val="00EC3B6D"/>
    <w:rsid w:val="00F17723"/>
    <w:rsid w:val="00F514E3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9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9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2023-10-11T08:33:00Z</cp:lastPrinted>
  <dcterms:created xsi:type="dcterms:W3CDTF">2024-03-01T05:34:00Z</dcterms:created>
  <dcterms:modified xsi:type="dcterms:W3CDTF">2024-03-01T05:34:00Z</dcterms:modified>
</cp:coreProperties>
</file>